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1E58CD">
      <w:pPr>
        <w:ind w:left="-525" w:leftChars="-250"/>
        <w:jc w:val="center"/>
        <w:rPr>
          <w:rFonts w:eastAsia="隶书"/>
          <w:b/>
          <w:sz w:val="44"/>
          <w:szCs w:val="44"/>
        </w:rPr>
      </w:pPr>
      <w:r>
        <w:rPr>
          <w:rFonts w:eastAsia="隶书"/>
          <w:b/>
          <w:sz w:val="44"/>
          <w:szCs w:val="44"/>
        </w:rPr>
        <w:t>20</w:t>
      </w:r>
      <w:r>
        <w:rPr>
          <w:rFonts w:hint="eastAsia" w:eastAsia="隶书"/>
          <w:b/>
          <w:sz w:val="44"/>
          <w:szCs w:val="44"/>
        </w:rPr>
        <w:t>25年硕士研究生入学考试复试科目大纲</w:t>
      </w:r>
    </w:p>
    <w:tbl>
      <w:tblPr>
        <w:tblStyle w:val="4"/>
        <w:tblW w:w="928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88"/>
        <w:gridCol w:w="1947"/>
        <w:gridCol w:w="2268"/>
        <w:gridCol w:w="2985"/>
      </w:tblGrid>
      <w:tr w14:paraId="4C8377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9"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14:paraId="169E8578">
            <w:pPr>
              <w:spacing w:before="120" w:after="120"/>
              <w:jc w:val="center"/>
              <w:rPr>
                <w:rFonts w:ascii="华文仿宋" w:hAnsi="华文仿宋" w:eastAsia="华文仿宋"/>
                <w:b/>
                <w:szCs w:val="21"/>
              </w:rPr>
            </w:pPr>
            <w:r>
              <w:rPr>
                <w:rFonts w:hint="eastAsia" w:ascii="华文仿宋" w:hAnsi="华文仿宋" w:eastAsia="华文仿宋"/>
                <w:b/>
                <w:szCs w:val="21"/>
              </w:rPr>
              <w:t>招生学院</w:t>
            </w:r>
          </w:p>
        </w:tc>
        <w:tc>
          <w:tcPr>
            <w:tcW w:w="1947" w:type="dxa"/>
            <w:tcBorders>
              <w:top w:val="single" w:color="auto" w:sz="4" w:space="0"/>
              <w:left w:val="single" w:color="auto" w:sz="4" w:space="0"/>
              <w:bottom w:val="single" w:color="auto" w:sz="4" w:space="0"/>
              <w:right w:val="single" w:color="auto" w:sz="4" w:space="0"/>
            </w:tcBorders>
            <w:vAlign w:val="center"/>
          </w:tcPr>
          <w:p w14:paraId="568CAB27">
            <w:pPr>
              <w:spacing w:before="120" w:after="120"/>
              <w:jc w:val="center"/>
              <w:rPr>
                <w:rFonts w:ascii="华文仿宋" w:hAnsi="华文仿宋" w:eastAsia="华文仿宋"/>
                <w:b/>
                <w:szCs w:val="21"/>
              </w:rPr>
            </w:pPr>
            <w:r>
              <w:rPr>
                <w:rFonts w:hint="eastAsia" w:ascii="华文仿宋" w:hAnsi="华文仿宋" w:eastAsia="华文仿宋"/>
                <w:b/>
                <w:szCs w:val="21"/>
              </w:rPr>
              <w:t>招生专业代码</w:t>
            </w:r>
          </w:p>
        </w:tc>
        <w:tc>
          <w:tcPr>
            <w:tcW w:w="2268" w:type="dxa"/>
            <w:tcBorders>
              <w:top w:val="single" w:color="auto" w:sz="4" w:space="0"/>
              <w:left w:val="single" w:color="auto" w:sz="4" w:space="0"/>
              <w:bottom w:val="single" w:color="auto" w:sz="4" w:space="0"/>
              <w:right w:val="single" w:color="auto" w:sz="4" w:space="0"/>
            </w:tcBorders>
            <w:vAlign w:val="center"/>
          </w:tcPr>
          <w:p w14:paraId="0DA6A97A">
            <w:pPr>
              <w:spacing w:before="120" w:after="120"/>
              <w:jc w:val="center"/>
              <w:rPr>
                <w:rFonts w:ascii="华文仿宋" w:hAnsi="华文仿宋" w:eastAsia="华文仿宋"/>
                <w:b/>
                <w:szCs w:val="21"/>
              </w:rPr>
            </w:pPr>
            <w:r>
              <w:rPr>
                <w:rFonts w:hint="eastAsia" w:ascii="华文仿宋" w:hAnsi="华文仿宋" w:eastAsia="华文仿宋"/>
                <w:b/>
                <w:szCs w:val="21"/>
              </w:rPr>
              <w:t>招生专业名称</w:t>
            </w:r>
          </w:p>
        </w:tc>
        <w:tc>
          <w:tcPr>
            <w:tcW w:w="2985" w:type="dxa"/>
            <w:tcBorders>
              <w:top w:val="single" w:color="auto" w:sz="4" w:space="0"/>
              <w:left w:val="single" w:color="auto" w:sz="4" w:space="0"/>
              <w:bottom w:val="single" w:color="auto" w:sz="4" w:space="0"/>
              <w:right w:val="single" w:color="auto" w:sz="4" w:space="0"/>
            </w:tcBorders>
            <w:vAlign w:val="center"/>
          </w:tcPr>
          <w:p w14:paraId="536C696E">
            <w:pPr>
              <w:spacing w:before="120" w:after="120"/>
              <w:jc w:val="center"/>
              <w:rPr>
                <w:rFonts w:ascii="华文仿宋" w:hAnsi="华文仿宋" w:eastAsia="华文仿宋"/>
                <w:b/>
                <w:szCs w:val="21"/>
              </w:rPr>
            </w:pPr>
            <w:r>
              <w:rPr>
                <w:rFonts w:hint="eastAsia" w:ascii="华文仿宋" w:hAnsi="华文仿宋" w:eastAsia="华文仿宋"/>
                <w:b/>
                <w:szCs w:val="21"/>
              </w:rPr>
              <w:t>考试科目代码及名称</w:t>
            </w:r>
          </w:p>
        </w:tc>
      </w:tr>
      <w:tr w14:paraId="1C2CC5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14:paraId="624B8A57">
            <w:pPr>
              <w:jc w:val="center"/>
              <w:rPr>
                <w:rFonts w:ascii="宋体" w:hAnsi="宋体"/>
                <w:sz w:val="18"/>
                <w:szCs w:val="18"/>
              </w:rPr>
            </w:pPr>
            <w:r>
              <w:rPr>
                <w:rFonts w:hint="eastAsia" w:ascii="华文仿宋" w:hAnsi="华文仿宋" w:eastAsia="华文仿宋"/>
                <w:sz w:val="24"/>
              </w:rPr>
              <w:t>经济学院</w:t>
            </w:r>
          </w:p>
        </w:tc>
        <w:tc>
          <w:tcPr>
            <w:tcW w:w="1947" w:type="dxa"/>
            <w:tcBorders>
              <w:top w:val="single" w:color="auto" w:sz="4" w:space="0"/>
              <w:left w:val="single" w:color="auto" w:sz="4" w:space="0"/>
              <w:bottom w:val="single" w:color="auto" w:sz="4" w:space="0"/>
              <w:right w:val="single" w:color="auto" w:sz="4" w:space="0"/>
            </w:tcBorders>
            <w:vAlign w:val="center"/>
          </w:tcPr>
          <w:p w14:paraId="17FA2358">
            <w:pPr>
              <w:widowControl/>
              <w:jc w:val="center"/>
              <w:rPr>
                <w:rFonts w:ascii="宋体" w:hAnsi="宋体"/>
                <w:sz w:val="18"/>
                <w:szCs w:val="18"/>
              </w:rPr>
            </w:pPr>
            <w:r>
              <w:rPr>
                <w:rFonts w:hint="eastAsia" w:ascii="华文仿宋" w:hAnsi="华文仿宋" w:eastAsia="华文仿宋"/>
                <w:sz w:val="24"/>
              </w:rPr>
              <w:t>095138</w:t>
            </w:r>
          </w:p>
        </w:tc>
        <w:tc>
          <w:tcPr>
            <w:tcW w:w="2268" w:type="dxa"/>
            <w:tcBorders>
              <w:top w:val="single" w:color="auto" w:sz="4" w:space="0"/>
              <w:left w:val="single" w:color="auto" w:sz="4" w:space="0"/>
              <w:bottom w:val="single" w:color="auto" w:sz="4" w:space="0"/>
              <w:right w:val="single" w:color="auto" w:sz="4" w:space="0"/>
            </w:tcBorders>
            <w:vAlign w:val="center"/>
          </w:tcPr>
          <w:p w14:paraId="67B9EEC3">
            <w:pPr>
              <w:spacing w:line="320" w:lineRule="exact"/>
              <w:ind w:firstLine="600" w:firstLineChars="250"/>
              <w:rPr>
                <w:rFonts w:ascii="华文仿宋" w:hAnsi="华文仿宋" w:eastAsia="华文仿宋"/>
                <w:sz w:val="24"/>
              </w:rPr>
            </w:pPr>
            <w:r>
              <w:rPr>
                <w:rFonts w:hint="eastAsia" w:ascii="华文仿宋" w:hAnsi="华文仿宋" w:eastAsia="华文仿宋"/>
                <w:sz w:val="24"/>
              </w:rPr>
              <w:t>农村发展</w:t>
            </w:r>
          </w:p>
          <w:p w14:paraId="7CEE6D24">
            <w:pPr>
              <w:wordWrap w:val="0"/>
              <w:spacing w:line="288" w:lineRule="auto"/>
              <w:ind w:firstLine="360" w:firstLineChars="150"/>
              <w:jc w:val="center"/>
              <w:rPr>
                <w:rFonts w:ascii="宋体" w:hAnsi="宋体"/>
                <w:sz w:val="18"/>
                <w:szCs w:val="18"/>
              </w:rPr>
            </w:pPr>
            <w:r>
              <w:rPr>
                <w:rFonts w:hint="eastAsia" w:ascii="华文仿宋" w:hAnsi="华文仿宋" w:eastAsia="华文仿宋"/>
                <w:sz w:val="24"/>
              </w:rPr>
              <w:t>(专业学位)</w:t>
            </w:r>
          </w:p>
        </w:tc>
        <w:tc>
          <w:tcPr>
            <w:tcW w:w="2985" w:type="dxa"/>
            <w:tcBorders>
              <w:top w:val="single" w:color="auto" w:sz="4" w:space="0"/>
              <w:left w:val="single" w:color="auto" w:sz="4" w:space="0"/>
              <w:bottom w:val="single" w:color="auto" w:sz="4" w:space="0"/>
              <w:right w:val="single" w:color="auto" w:sz="4" w:space="0"/>
            </w:tcBorders>
            <w:vAlign w:val="center"/>
          </w:tcPr>
          <w:p w14:paraId="13C76A2E">
            <w:pPr>
              <w:widowControl/>
              <w:jc w:val="center"/>
              <w:rPr>
                <w:rFonts w:ascii="宋体" w:hAnsi="宋体"/>
                <w:sz w:val="18"/>
                <w:szCs w:val="18"/>
              </w:rPr>
            </w:pPr>
            <w:r>
              <w:rPr>
                <w:rFonts w:hint="eastAsia" w:ascii="华文仿宋" w:hAnsi="华文仿宋" w:eastAsia="华文仿宋"/>
                <w:sz w:val="24"/>
              </w:rPr>
              <w:t>f</w:t>
            </w:r>
            <w:bookmarkStart w:id="1" w:name="_GoBack"/>
            <w:bookmarkEnd w:id="1"/>
            <w:r>
              <w:rPr>
                <w:rFonts w:hint="eastAsia" w:ascii="华文仿宋" w:hAnsi="华文仿宋" w:eastAsia="华文仿宋"/>
                <w:sz w:val="24"/>
              </w:rPr>
              <w:t>88 农业经济学</w:t>
            </w:r>
          </w:p>
        </w:tc>
      </w:tr>
      <w:tr w14:paraId="2FA9A5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90"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14:paraId="243C0797">
            <w:pPr>
              <w:spacing w:line="288" w:lineRule="auto"/>
              <w:jc w:val="center"/>
              <w:rPr>
                <w:rFonts w:ascii="华文仿宋" w:hAnsi="华文仿宋" w:eastAsia="华文仿宋"/>
                <w:b/>
                <w:sz w:val="28"/>
                <w:szCs w:val="28"/>
              </w:rPr>
            </w:pPr>
          </w:p>
          <w:p w14:paraId="6180D8DA">
            <w:pPr>
              <w:spacing w:line="288" w:lineRule="auto"/>
              <w:jc w:val="center"/>
              <w:rPr>
                <w:rFonts w:ascii="华文仿宋" w:hAnsi="华文仿宋" w:eastAsia="华文仿宋"/>
                <w:b/>
                <w:sz w:val="28"/>
                <w:szCs w:val="28"/>
              </w:rPr>
            </w:pPr>
            <w:r>
              <w:rPr>
                <w:rFonts w:hint="eastAsia" w:ascii="华文仿宋" w:hAnsi="华文仿宋" w:eastAsia="华文仿宋"/>
                <w:b/>
                <w:sz w:val="28"/>
                <w:szCs w:val="28"/>
              </w:rPr>
              <w:t>一、考试内容</w:t>
            </w:r>
          </w:p>
          <w:p w14:paraId="17ED2518">
            <w:pPr>
              <w:wordWrap w:val="0"/>
              <w:spacing w:line="288" w:lineRule="auto"/>
              <w:jc w:val="center"/>
              <w:rPr>
                <w:rFonts w:ascii="华文仿宋" w:hAnsi="华文仿宋" w:eastAsia="华文仿宋"/>
                <w:sz w:val="28"/>
                <w:szCs w:val="28"/>
              </w:rPr>
            </w:pPr>
          </w:p>
        </w:tc>
        <w:tc>
          <w:tcPr>
            <w:tcW w:w="7200" w:type="dxa"/>
            <w:gridSpan w:val="3"/>
            <w:tcBorders>
              <w:top w:val="single" w:color="auto" w:sz="4" w:space="0"/>
              <w:left w:val="single" w:color="auto" w:sz="4" w:space="0"/>
              <w:bottom w:val="single" w:color="auto" w:sz="4" w:space="0"/>
              <w:right w:val="single" w:color="auto" w:sz="4" w:space="0"/>
            </w:tcBorders>
          </w:tcPr>
          <w:p w14:paraId="116CC4F1">
            <w:pPr>
              <w:spacing w:line="320" w:lineRule="exact"/>
              <w:ind w:firstLine="110" w:firstLineChars="50"/>
              <w:jc w:val="left"/>
              <w:rPr>
                <w:rFonts w:ascii="宋体" w:hAnsi="宋体"/>
                <w:sz w:val="22"/>
                <w:szCs w:val="22"/>
              </w:rPr>
            </w:pPr>
            <w:r>
              <w:rPr>
                <w:rFonts w:ascii="宋体" w:hAnsi="宋体"/>
                <w:sz w:val="22"/>
                <w:szCs w:val="22"/>
              </w:rPr>
              <w:t>（一）农业经济制度</w:t>
            </w:r>
          </w:p>
          <w:p w14:paraId="14CC058E">
            <w:pPr>
              <w:spacing w:line="320" w:lineRule="exact"/>
              <w:ind w:firstLine="110" w:firstLineChars="50"/>
              <w:jc w:val="left"/>
              <w:rPr>
                <w:rFonts w:ascii="宋体" w:hAnsi="宋体"/>
                <w:sz w:val="22"/>
                <w:szCs w:val="22"/>
              </w:rPr>
            </w:pPr>
            <w:r>
              <w:rPr>
                <w:rFonts w:hint="eastAsia" w:ascii="宋体" w:hAnsi="宋体"/>
                <w:sz w:val="22"/>
                <w:szCs w:val="22"/>
              </w:rPr>
              <w:t>1</w:t>
            </w:r>
            <w:r>
              <w:rPr>
                <w:rFonts w:ascii="宋体" w:hAnsi="宋体"/>
                <w:sz w:val="22"/>
                <w:szCs w:val="22"/>
              </w:rPr>
              <w:t>.</w:t>
            </w:r>
            <w:r>
              <w:rPr>
                <w:rFonts w:hint="eastAsia" w:ascii="宋体" w:hAnsi="宋体"/>
                <w:sz w:val="22"/>
                <w:szCs w:val="22"/>
              </w:rPr>
              <w:t>熟练掌握农业经济制度的概念和作用</w:t>
            </w:r>
          </w:p>
          <w:p w14:paraId="71FDCE4F">
            <w:pPr>
              <w:spacing w:line="320" w:lineRule="exact"/>
              <w:ind w:firstLine="110" w:firstLineChars="50"/>
              <w:jc w:val="left"/>
              <w:rPr>
                <w:rFonts w:ascii="宋体" w:hAnsi="宋体"/>
                <w:sz w:val="22"/>
                <w:szCs w:val="22"/>
              </w:rPr>
            </w:pPr>
            <w:r>
              <w:rPr>
                <w:rFonts w:hint="eastAsia" w:ascii="宋体" w:hAnsi="宋体"/>
                <w:sz w:val="22"/>
                <w:szCs w:val="22"/>
              </w:rPr>
              <w:t>2</w:t>
            </w:r>
            <w:r>
              <w:rPr>
                <w:rFonts w:ascii="宋体" w:hAnsi="宋体"/>
                <w:sz w:val="22"/>
                <w:szCs w:val="22"/>
              </w:rPr>
              <w:t>.掌握农业经济制度在新时期的演进趋势</w:t>
            </w:r>
          </w:p>
          <w:p w14:paraId="30E08F9B">
            <w:pPr>
              <w:spacing w:line="320" w:lineRule="exact"/>
              <w:ind w:firstLine="110" w:firstLineChars="50"/>
              <w:jc w:val="left"/>
              <w:rPr>
                <w:rFonts w:ascii="宋体" w:hAnsi="宋体"/>
                <w:sz w:val="22"/>
                <w:szCs w:val="22"/>
              </w:rPr>
            </w:pPr>
            <w:r>
              <w:rPr>
                <w:rFonts w:hint="eastAsia" w:ascii="宋体" w:hAnsi="宋体"/>
                <w:sz w:val="22"/>
                <w:szCs w:val="22"/>
              </w:rPr>
              <w:t>（二）农业自然资源</w:t>
            </w:r>
          </w:p>
          <w:p w14:paraId="31F1FE28">
            <w:pPr>
              <w:spacing w:line="320" w:lineRule="exact"/>
              <w:ind w:firstLine="110" w:firstLineChars="50"/>
              <w:jc w:val="left"/>
              <w:rPr>
                <w:rFonts w:ascii="宋体" w:hAnsi="宋体"/>
                <w:sz w:val="22"/>
                <w:szCs w:val="22"/>
              </w:rPr>
            </w:pPr>
            <w:r>
              <w:rPr>
                <w:rFonts w:hint="eastAsia" w:ascii="宋体" w:hAnsi="宋体"/>
                <w:sz w:val="22"/>
                <w:szCs w:val="22"/>
              </w:rPr>
              <w:t>1.熟练掌握土地资源的概念与特征</w:t>
            </w:r>
          </w:p>
          <w:p w14:paraId="2BB01DFF">
            <w:pPr>
              <w:spacing w:line="320" w:lineRule="exact"/>
              <w:ind w:firstLine="110" w:firstLineChars="50"/>
              <w:jc w:val="left"/>
              <w:rPr>
                <w:rFonts w:ascii="宋体" w:hAnsi="宋体"/>
                <w:sz w:val="22"/>
                <w:szCs w:val="22"/>
              </w:rPr>
            </w:pPr>
            <w:r>
              <w:rPr>
                <w:rFonts w:hint="eastAsia" w:ascii="宋体" w:hAnsi="宋体"/>
                <w:sz w:val="22"/>
                <w:szCs w:val="22"/>
              </w:rPr>
              <w:t>2.理解如何提高农业的集约经营水平，分析农业集约经营中土地报酬的变化趋势</w:t>
            </w:r>
          </w:p>
          <w:p w14:paraId="1E7B94D5">
            <w:pPr>
              <w:spacing w:line="320" w:lineRule="exact"/>
              <w:ind w:firstLine="105" w:firstLineChars="50"/>
              <w:jc w:val="left"/>
              <w:rPr>
                <w:rFonts w:ascii="宋体"/>
                <w:szCs w:val="21"/>
              </w:rPr>
            </w:pPr>
            <w:r>
              <w:rPr>
                <w:rFonts w:hint="eastAsia" w:ascii="宋体"/>
                <w:szCs w:val="21"/>
              </w:rPr>
              <w:t>3.理解农业规模经营需要具备的条件以及在我国应如何实现农业适度规模经营</w:t>
            </w:r>
          </w:p>
          <w:p w14:paraId="06097704">
            <w:pPr>
              <w:spacing w:line="320" w:lineRule="exact"/>
              <w:ind w:firstLine="105" w:firstLineChars="50"/>
              <w:jc w:val="left"/>
              <w:rPr>
                <w:rFonts w:ascii="宋体" w:hAnsi="宋体"/>
                <w:sz w:val="22"/>
                <w:szCs w:val="22"/>
              </w:rPr>
            </w:pPr>
            <w:r>
              <w:rPr>
                <w:rFonts w:hint="eastAsia" w:ascii="宋体"/>
                <w:szCs w:val="21"/>
              </w:rPr>
              <w:t>4</w:t>
            </w:r>
            <w:r>
              <w:rPr>
                <w:rFonts w:ascii="宋体"/>
                <w:szCs w:val="21"/>
              </w:rPr>
              <w:t>.理解我国农业自然资源开发利用中存在的主要问题及解决的措施</w:t>
            </w:r>
          </w:p>
          <w:p w14:paraId="34277A71">
            <w:pPr>
              <w:spacing w:line="320" w:lineRule="exact"/>
              <w:ind w:firstLine="110" w:firstLineChars="50"/>
              <w:jc w:val="left"/>
              <w:rPr>
                <w:rFonts w:ascii="宋体" w:hAnsi="宋体"/>
                <w:sz w:val="22"/>
                <w:szCs w:val="22"/>
              </w:rPr>
            </w:pPr>
            <w:r>
              <w:rPr>
                <w:rFonts w:hint="eastAsia" w:ascii="宋体" w:hAnsi="宋体"/>
                <w:sz w:val="22"/>
                <w:szCs w:val="22"/>
              </w:rPr>
              <w:t>（三）农业劳动力资源</w:t>
            </w:r>
          </w:p>
          <w:p w14:paraId="69911E69">
            <w:pPr>
              <w:spacing w:line="320" w:lineRule="exact"/>
              <w:ind w:firstLine="110" w:firstLineChars="50"/>
              <w:jc w:val="left"/>
              <w:rPr>
                <w:rFonts w:ascii="宋体" w:hAnsi="宋体"/>
                <w:sz w:val="22"/>
                <w:szCs w:val="22"/>
              </w:rPr>
            </w:pPr>
            <w:r>
              <w:rPr>
                <w:rFonts w:hint="eastAsia" w:ascii="宋体" w:hAnsi="宋体"/>
                <w:sz w:val="22"/>
                <w:szCs w:val="22"/>
              </w:rPr>
              <w:t>1.熟练掌握农业劳动力的特性、农业劳动生产率的概念及提高途径</w:t>
            </w:r>
          </w:p>
          <w:p w14:paraId="7F48886B">
            <w:pPr>
              <w:spacing w:line="320" w:lineRule="exact"/>
              <w:ind w:firstLine="110" w:firstLineChars="50"/>
              <w:jc w:val="left"/>
              <w:rPr>
                <w:rFonts w:ascii="宋体" w:hAnsi="宋体"/>
                <w:sz w:val="22"/>
                <w:szCs w:val="22"/>
              </w:rPr>
            </w:pPr>
            <w:r>
              <w:rPr>
                <w:rFonts w:hint="eastAsia" w:ascii="宋体" w:hAnsi="宋体"/>
                <w:sz w:val="22"/>
                <w:szCs w:val="22"/>
              </w:rPr>
              <w:t>2.熟练掌握农业劳动力需求、供给的基本特点与决定因素</w:t>
            </w:r>
          </w:p>
          <w:p w14:paraId="1CA66EC1">
            <w:pPr>
              <w:spacing w:line="320" w:lineRule="exact"/>
              <w:ind w:firstLine="110" w:firstLineChars="50"/>
              <w:jc w:val="left"/>
              <w:rPr>
                <w:rFonts w:ascii="宋体" w:hAnsi="宋体"/>
                <w:sz w:val="22"/>
                <w:szCs w:val="22"/>
              </w:rPr>
            </w:pPr>
            <w:r>
              <w:rPr>
                <w:rFonts w:hint="eastAsia" w:ascii="宋体" w:hAnsi="宋体"/>
                <w:sz w:val="22"/>
                <w:szCs w:val="22"/>
              </w:rPr>
              <w:t>3</w:t>
            </w:r>
            <w:r>
              <w:rPr>
                <w:rFonts w:ascii="宋体" w:hAnsi="宋体"/>
                <w:sz w:val="22"/>
                <w:szCs w:val="22"/>
              </w:rPr>
              <w:t>.掌握影响农业劳动力转移的因素，以及农业劳动力转移产生的影响</w:t>
            </w:r>
          </w:p>
          <w:p w14:paraId="37F39B96">
            <w:pPr>
              <w:spacing w:line="320" w:lineRule="exact"/>
              <w:ind w:firstLine="110" w:firstLineChars="50"/>
              <w:jc w:val="left"/>
              <w:rPr>
                <w:rFonts w:ascii="宋体" w:hAnsi="宋体"/>
                <w:sz w:val="22"/>
                <w:szCs w:val="22"/>
              </w:rPr>
            </w:pPr>
            <w:r>
              <w:rPr>
                <w:rFonts w:hint="eastAsia" w:ascii="宋体" w:hAnsi="宋体"/>
                <w:sz w:val="22"/>
                <w:szCs w:val="22"/>
              </w:rPr>
              <w:t>（四）农业资金及农村金融</w:t>
            </w:r>
          </w:p>
          <w:p w14:paraId="17A4892F">
            <w:pPr>
              <w:spacing w:line="320" w:lineRule="exact"/>
              <w:ind w:firstLine="110" w:firstLineChars="50"/>
              <w:jc w:val="left"/>
              <w:rPr>
                <w:rFonts w:ascii="宋体" w:hAnsi="宋体"/>
                <w:sz w:val="22"/>
                <w:szCs w:val="22"/>
              </w:rPr>
            </w:pPr>
            <w:r>
              <w:rPr>
                <w:rFonts w:hint="eastAsia" w:ascii="宋体" w:hAnsi="宋体"/>
                <w:sz w:val="22"/>
                <w:szCs w:val="22"/>
              </w:rPr>
              <w:t>1.熟练掌握农业资金的概念、类型与特点</w:t>
            </w:r>
          </w:p>
          <w:p w14:paraId="1E2F92B0">
            <w:pPr>
              <w:spacing w:line="320" w:lineRule="exact"/>
              <w:ind w:firstLine="110" w:firstLineChars="50"/>
              <w:jc w:val="left"/>
              <w:rPr>
                <w:rFonts w:ascii="宋体" w:hAnsi="宋体"/>
                <w:sz w:val="22"/>
                <w:szCs w:val="22"/>
              </w:rPr>
            </w:pPr>
            <w:r>
              <w:rPr>
                <w:rFonts w:hint="eastAsia" w:ascii="宋体" w:hAnsi="宋体"/>
                <w:sz w:val="22"/>
                <w:szCs w:val="22"/>
              </w:rPr>
              <w:t>2.掌握农村金融体系的构成及政府在农村金融发展中的作用</w:t>
            </w:r>
          </w:p>
          <w:p w14:paraId="221B2FC6">
            <w:pPr>
              <w:spacing w:line="320" w:lineRule="exact"/>
              <w:ind w:firstLine="110" w:firstLineChars="50"/>
              <w:jc w:val="left"/>
              <w:rPr>
                <w:rFonts w:ascii="宋体" w:hAnsi="宋体"/>
                <w:sz w:val="22"/>
                <w:szCs w:val="22"/>
              </w:rPr>
            </w:pPr>
            <w:r>
              <w:rPr>
                <w:rFonts w:hint="eastAsia" w:ascii="宋体" w:hAnsi="宋体"/>
                <w:sz w:val="22"/>
                <w:szCs w:val="22"/>
              </w:rPr>
              <w:t>3</w:t>
            </w:r>
            <w:r>
              <w:rPr>
                <w:rFonts w:ascii="宋体" w:hAnsi="宋体"/>
                <w:sz w:val="22"/>
                <w:szCs w:val="22"/>
              </w:rPr>
              <w:t>.理解</w:t>
            </w:r>
            <w:r>
              <w:rPr>
                <w:rFonts w:hint="eastAsia" w:ascii="宋体" w:hAnsi="宋体"/>
                <w:sz w:val="22"/>
                <w:szCs w:val="22"/>
              </w:rPr>
              <w:t>我国农村金融存在的主要问题和发展出路</w:t>
            </w:r>
          </w:p>
          <w:p w14:paraId="08047D80">
            <w:pPr>
              <w:spacing w:line="320" w:lineRule="exact"/>
              <w:ind w:firstLine="110" w:firstLineChars="50"/>
              <w:jc w:val="left"/>
              <w:rPr>
                <w:rFonts w:ascii="宋体" w:hAnsi="宋体"/>
                <w:sz w:val="22"/>
                <w:szCs w:val="22"/>
              </w:rPr>
            </w:pPr>
            <w:r>
              <w:rPr>
                <w:rFonts w:hint="eastAsia" w:ascii="宋体" w:hAnsi="宋体"/>
                <w:sz w:val="22"/>
                <w:szCs w:val="22"/>
              </w:rPr>
              <w:t>（五）农业技术进步</w:t>
            </w:r>
          </w:p>
          <w:p w14:paraId="2F4F3E50">
            <w:pPr>
              <w:spacing w:line="320" w:lineRule="exact"/>
              <w:ind w:firstLine="110" w:firstLineChars="50"/>
              <w:jc w:val="left"/>
              <w:rPr>
                <w:rFonts w:ascii="宋体" w:hAnsi="宋体"/>
                <w:sz w:val="22"/>
                <w:szCs w:val="22"/>
              </w:rPr>
            </w:pPr>
            <w:r>
              <w:rPr>
                <w:rFonts w:hint="eastAsia" w:ascii="宋体" w:hAnsi="宋体"/>
                <w:sz w:val="22"/>
                <w:szCs w:val="22"/>
              </w:rPr>
              <w:t>1.熟练掌握农业技术进步的主要内容和特点、农业技术进步的类型及道路选择</w:t>
            </w:r>
          </w:p>
          <w:p w14:paraId="0E16605A">
            <w:pPr>
              <w:spacing w:line="320" w:lineRule="exact"/>
              <w:ind w:firstLine="110" w:firstLineChars="50"/>
              <w:jc w:val="left"/>
              <w:rPr>
                <w:rFonts w:ascii="宋体" w:hAnsi="宋体"/>
                <w:sz w:val="22"/>
                <w:szCs w:val="22"/>
              </w:rPr>
            </w:pPr>
            <w:r>
              <w:rPr>
                <w:rFonts w:hint="eastAsia" w:ascii="宋体" w:hAnsi="宋体"/>
                <w:sz w:val="22"/>
                <w:szCs w:val="22"/>
              </w:rPr>
              <w:t>2.掌握要素稀缺与市场需求诱导的技术创新理论</w:t>
            </w:r>
          </w:p>
          <w:p w14:paraId="0B7B15A5">
            <w:pPr>
              <w:spacing w:line="320" w:lineRule="exact"/>
              <w:ind w:firstLine="110" w:firstLineChars="50"/>
              <w:jc w:val="left"/>
              <w:rPr>
                <w:rFonts w:ascii="宋体" w:hAnsi="宋体"/>
                <w:sz w:val="22"/>
                <w:szCs w:val="22"/>
              </w:rPr>
            </w:pPr>
            <w:r>
              <w:rPr>
                <w:rFonts w:hint="eastAsia" w:ascii="宋体" w:hAnsi="宋体"/>
                <w:sz w:val="22"/>
                <w:szCs w:val="22"/>
              </w:rPr>
              <w:t>3.掌握农业科技进步的作用及增强我国农业技术创新能力的路径</w:t>
            </w:r>
          </w:p>
          <w:p w14:paraId="0BFA1038">
            <w:pPr>
              <w:spacing w:line="320" w:lineRule="exact"/>
              <w:ind w:firstLine="110" w:firstLineChars="50"/>
              <w:jc w:val="left"/>
              <w:rPr>
                <w:rFonts w:ascii="宋体" w:hAnsi="宋体"/>
                <w:sz w:val="22"/>
                <w:szCs w:val="22"/>
              </w:rPr>
            </w:pPr>
            <w:r>
              <w:rPr>
                <w:rFonts w:hint="eastAsia" w:ascii="宋体" w:hAnsi="宋体"/>
                <w:sz w:val="22"/>
                <w:szCs w:val="22"/>
              </w:rPr>
              <w:t>4.理解农业技术扩散和农业技术推广之间的关系</w:t>
            </w:r>
          </w:p>
          <w:p w14:paraId="134CED71">
            <w:pPr>
              <w:spacing w:line="320" w:lineRule="exact"/>
              <w:ind w:firstLine="110" w:firstLineChars="50"/>
              <w:jc w:val="left"/>
              <w:rPr>
                <w:rFonts w:ascii="宋体" w:hAnsi="宋体"/>
                <w:sz w:val="22"/>
                <w:szCs w:val="22"/>
              </w:rPr>
            </w:pPr>
            <w:r>
              <w:rPr>
                <w:rFonts w:hint="eastAsia" w:ascii="宋体" w:hAnsi="宋体"/>
                <w:sz w:val="22"/>
                <w:szCs w:val="22"/>
              </w:rPr>
              <w:t>（六）农业家庭经营</w:t>
            </w:r>
          </w:p>
          <w:p w14:paraId="093DCB44">
            <w:pPr>
              <w:spacing w:line="320" w:lineRule="exact"/>
              <w:ind w:firstLine="110" w:firstLineChars="50"/>
              <w:jc w:val="left"/>
              <w:rPr>
                <w:rFonts w:ascii="宋体" w:hAnsi="宋体"/>
                <w:sz w:val="22"/>
                <w:szCs w:val="22"/>
              </w:rPr>
            </w:pPr>
            <w:r>
              <w:rPr>
                <w:rFonts w:hint="eastAsia" w:ascii="宋体" w:hAnsi="宋体"/>
                <w:sz w:val="22"/>
                <w:szCs w:val="22"/>
              </w:rPr>
              <w:t>1.熟练掌握农业家庭经营的概念与类型</w:t>
            </w:r>
          </w:p>
          <w:p w14:paraId="22ABA08F">
            <w:pPr>
              <w:spacing w:line="320" w:lineRule="exact"/>
              <w:ind w:firstLine="110" w:firstLineChars="50"/>
              <w:jc w:val="left"/>
              <w:rPr>
                <w:rFonts w:ascii="宋体" w:hAnsi="宋体"/>
                <w:sz w:val="22"/>
                <w:szCs w:val="22"/>
              </w:rPr>
            </w:pPr>
            <w:r>
              <w:rPr>
                <w:rFonts w:hint="eastAsia" w:ascii="宋体" w:hAnsi="宋体"/>
                <w:sz w:val="22"/>
                <w:szCs w:val="22"/>
              </w:rPr>
              <w:t>2.掌握农业家庭经营大量广泛存在的原因</w:t>
            </w:r>
          </w:p>
          <w:p w14:paraId="2D3B51E9">
            <w:pPr>
              <w:spacing w:line="320" w:lineRule="exact"/>
              <w:ind w:firstLine="110" w:firstLineChars="50"/>
              <w:jc w:val="left"/>
              <w:rPr>
                <w:rFonts w:ascii="宋体" w:hAnsi="宋体"/>
                <w:sz w:val="22"/>
                <w:szCs w:val="22"/>
              </w:rPr>
            </w:pPr>
            <w:r>
              <w:rPr>
                <w:rFonts w:hint="eastAsia" w:ascii="宋体" w:hAnsi="宋体"/>
                <w:sz w:val="22"/>
                <w:szCs w:val="22"/>
              </w:rPr>
              <w:t>3.掌握农业家庭经营出现兼业化的原因以及农户兼业化的利弊得失</w:t>
            </w:r>
          </w:p>
          <w:p w14:paraId="57C227D1">
            <w:pPr>
              <w:spacing w:line="320" w:lineRule="exact"/>
              <w:ind w:firstLine="110" w:firstLineChars="50"/>
              <w:jc w:val="left"/>
              <w:rPr>
                <w:rFonts w:ascii="宋体" w:hAnsi="宋体"/>
                <w:sz w:val="22"/>
                <w:szCs w:val="22"/>
              </w:rPr>
            </w:pPr>
            <w:r>
              <w:rPr>
                <w:rFonts w:hint="eastAsia" w:ascii="宋体" w:hAnsi="宋体"/>
                <w:sz w:val="22"/>
                <w:szCs w:val="22"/>
              </w:rPr>
              <w:t>4.理解我国农业家庭承包经营中存在的问题以及解决的措施</w:t>
            </w:r>
          </w:p>
          <w:p w14:paraId="4E7E6467">
            <w:pPr>
              <w:spacing w:line="320" w:lineRule="exact"/>
              <w:ind w:firstLine="110" w:firstLineChars="50"/>
              <w:jc w:val="left"/>
              <w:rPr>
                <w:rFonts w:ascii="宋体" w:hAnsi="宋体"/>
                <w:sz w:val="22"/>
                <w:szCs w:val="22"/>
              </w:rPr>
            </w:pPr>
            <w:r>
              <w:rPr>
                <w:rFonts w:hint="eastAsia" w:ascii="宋体" w:hAnsi="宋体"/>
                <w:sz w:val="22"/>
                <w:szCs w:val="22"/>
              </w:rPr>
              <w:t>（七）农业合作经济</w:t>
            </w:r>
          </w:p>
          <w:p w14:paraId="61DE9756">
            <w:pPr>
              <w:spacing w:line="320" w:lineRule="exact"/>
              <w:ind w:firstLine="110" w:firstLineChars="50"/>
              <w:jc w:val="left"/>
              <w:rPr>
                <w:rFonts w:ascii="宋体" w:hAnsi="宋体"/>
                <w:sz w:val="22"/>
                <w:szCs w:val="22"/>
              </w:rPr>
            </w:pPr>
            <w:r>
              <w:rPr>
                <w:rFonts w:hint="eastAsia" w:ascii="宋体" w:hAnsi="宋体"/>
                <w:sz w:val="22"/>
                <w:szCs w:val="22"/>
              </w:rPr>
              <w:t>1.了解农业合作经济的内涵及其产生的原因</w:t>
            </w:r>
          </w:p>
          <w:p w14:paraId="3360A8DE">
            <w:pPr>
              <w:spacing w:line="320" w:lineRule="exact"/>
              <w:ind w:firstLine="110" w:firstLineChars="50"/>
              <w:jc w:val="left"/>
              <w:rPr>
                <w:rFonts w:ascii="宋体" w:hAnsi="宋体"/>
                <w:sz w:val="22"/>
                <w:szCs w:val="22"/>
              </w:rPr>
            </w:pPr>
            <w:r>
              <w:rPr>
                <w:rFonts w:hint="eastAsia" w:ascii="宋体" w:hAnsi="宋体"/>
                <w:sz w:val="22"/>
                <w:szCs w:val="22"/>
              </w:rPr>
              <w:t>2.熟练掌握农业合作经济组织运行的基本原则与治理结构</w:t>
            </w:r>
          </w:p>
          <w:p w14:paraId="1E3B1256">
            <w:pPr>
              <w:spacing w:line="320" w:lineRule="exact"/>
              <w:ind w:firstLine="110" w:firstLineChars="50"/>
              <w:jc w:val="left"/>
              <w:rPr>
                <w:rFonts w:ascii="宋体" w:hAnsi="宋体"/>
                <w:sz w:val="22"/>
                <w:szCs w:val="22"/>
              </w:rPr>
            </w:pPr>
            <w:r>
              <w:rPr>
                <w:rFonts w:hint="eastAsia" w:ascii="宋体" w:hAnsi="宋体"/>
                <w:sz w:val="22"/>
                <w:szCs w:val="22"/>
              </w:rPr>
              <w:t>（八）农产品供求、市场及流通</w:t>
            </w:r>
          </w:p>
          <w:p w14:paraId="5B3B1DDF">
            <w:pPr>
              <w:spacing w:line="320" w:lineRule="exact"/>
              <w:ind w:firstLine="110" w:firstLineChars="50"/>
              <w:jc w:val="left"/>
              <w:rPr>
                <w:rFonts w:ascii="宋体" w:hAnsi="宋体"/>
                <w:sz w:val="22"/>
                <w:szCs w:val="22"/>
              </w:rPr>
            </w:pPr>
            <w:r>
              <w:rPr>
                <w:rFonts w:hint="eastAsia" w:ascii="宋体" w:hAnsi="宋体"/>
                <w:sz w:val="22"/>
                <w:szCs w:val="22"/>
              </w:rPr>
              <w:t>1.了解农产品市场相关的概念</w:t>
            </w:r>
          </w:p>
          <w:p w14:paraId="05F5C96F">
            <w:pPr>
              <w:spacing w:line="320" w:lineRule="exact"/>
              <w:ind w:firstLine="110" w:firstLineChars="50"/>
              <w:jc w:val="left"/>
              <w:rPr>
                <w:rFonts w:ascii="宋体" w:hAnsi="宋体"/>
                <w:sz w:val="22"/>
                <w:szCs w:val="22"/>
              </w:rPr>
            </w:pPr>
            <w:r>
              <w:rPr>
                <w:rFonts w:hint="eastAsia" w:ascii="宋体" w:hAnsi="宋体"/>
                <w:sz w:val="22"/>
                <w:szCs w:val="22"/>
              </w:rPr>
              <w:t>2.熟练掌握农产品需求原理、供给原理及影响因素</w:t>
            </w:r>
          </w:p>
          <w:p w14:paraId="413D5D7F">
            <w:pPr>
              <w:spacing w:line="320" w:lineRule="exact"/>
              <w:ind w:firstLine="110" w:firstLineChars="50"/>
              <w:jc w:val="left"/>
              <w:rPr>
                <w:rFonts w:ascii="宋体" w:hAnsi="宋体"/>
                <w:sz w:val="22"/>
                <w:szCs w:val="22"/>
              </w:rPr>
            </w:pPr>
            <w:r>
              <w:rPr>
                <w:rFonts w:hint="eastAsia" w:ascii="宋体" w:hAnsi="宋体"/>
                <w:sz w:val="22"/>
                <w:szCs w:val="22"/>
              </w:rPr>
              <w:t>3.掌握农产品流通模式与基本特征</w:t>
            </w:r>
          </w:p>
          <w:p w14:paraId="6A38B77D">
            <w:pPr>
              <w:spacing w:line="320" w:lineRule="exact"/>
              <w:ind w:firstLine="110" w:firstLineChars="50"/>
              <w:jc w:val="left"/>
              <w:rPr>
                <w:rFonts w:ascii="宋体" w:hAnsi="宋体"/>
                <w:sz w:val="22"/>
                <w:szCs w:val="22"/>
              </w:rPr>
            </w:pPr>
            <w:r>
              <w:rPr>
                <w:rFonts w:hint="eastAsia" w:ascii="宋体" w:hAnsi="宋体"/>
                <w:sz w:val="22"/>
                <w:szCs w:val="22"/>
              </w:rPr>
              <w:t>（九）农业产业化</w:t>
            </w:r>
          </w:p>
          <w:p w14:paraId="1CE414E6">
            <w:pPr>
              <w:spacing w:line="320" w:lineRule="exact"/>
              <w:ind w:firstLine="110" w:firstLineChars="50"/>
              <w:jc w:val="left"/>
              <w:rPr>
                <w:rFonts w:ascii="宋体" w:hAnsi="宋体"/>
                <w:sz w:val="22"/>
                <w:szCs w:val="22"/>
              </w:rPr>
            </w:pPr>
            <w:r>
              <w:rPr>
                <w:rFonts w:hint="eastAsia" w:ascii="宋体" w:hAnsi="宋体"/>
                <w:sz w:val="22"/>
                <w:szCs w:val="22"/>
              </w:rPr>
              <w:t>1.了解农业产业化经营的概念及特征</w:t>
            </w:r>
          </w:p>
          <w:p w14:paraId="750270E7">
            <w:pPr>
              <w:spacing w:line="320" w:lineRule="exact"/>
              <w:ind w:firstLine="110" w:firstLineChars="50"/>
              <w:jc w:val="left"/>
              <w:rPr>
                <w:rFonts w:ascii="宋体" w:hAnsi="宋体"/>
                <w:sz w:val="22"/>
                <w:szCs w:val="22"/>
              </w:rPr>
            </w:pPr>
            <w:r>
              <w:rPr>
                <w:rFonts w:hint="eastAsia" w:ascii="宋体" w:hAnsi="宋体"/>
                <w:sz w:val="22"/>
                <w:szCs w:val="22"/>
              </w:rPr>
              <w:t>2.掌握农业产业化经营的利益分配机制及组织形式</w:t>
            </w:r>
          </w:p>
          <w:p w14:paraId="79B23457">
            <w:pPr>
              <w:spacing w:line="320" w:lineRule="exact"/>
              <w:ind w:firstLine="110" w:firstLineChars="50"/>
              <w:jc w:val="left"/>
              <w:rPr>
                <w:rFonts w:ascii="宋体" w:hAnsi="宋体"/>
                <w:sz w:val="22"/>
                <w:szCs w:val="22"/>
              </w:rPr>
            </w:pPr>
            <w:r>
              <w:rPr>
                <w:rFonts w:hint="eastAsia" w:ascii="宋体" w:hAnsi="宋体"/>
                <w:sz w:val="22"/>
                <w:szCs w:val="22"/>
              </w:rPr>
              <w:t>3.理解我国农业产业化经营中存在的主要问题</w:t>
            </w:r>
          </w:p>
          <w:p w14:paraId="448EF97F">
            <w:pPr>
              <w:spacing w:line="320" w:lineRule="exact"/>
              <w:ind w:firstLine="110" w:firstLineChars="50"/>
              <w:jc w:val="left"/>
              <w:rPr>
                <w:rFonts w:ascii="宋体" w:hAnsi="宋体"/>
                <w:sz w:val="22"/>
                <w:szCs w:val="22"/>
              </w:rPr>
            </w:pPr>
            <w:r>
              <w:rPr>
                <w:rFonts w:hint="eastAsia" w:ascii="宋体" w:hAnsi="宋体"/>
                <w:sz w:val="22"/>
                <w:szCs w:val="22"/>
              </w:rPr>
              <w:t>（十）粮食安全</w:t>
            </w:r>
          </w:p>
          <w:p w14:paraId="3C065BC6">
            <w:pPr>
              <w:spacing w:line="320" w:lineRule="exact"/>
              <w:ind w:firstLine="110" w:firstLineChars="50"/>
              <w:jc w:val="left"/>
              <w:rPr>
                <w:rFonts w:ascii="宋体" w:hAnsi="宋体"/>
                <w:sz w:val="22"/>
                <w:szCs w:val="22"/>
              </w:rPr>
            </w:pPr>
            <w:r>
              <w:rPr>
                <w:rFonts w:hint="eastAsia" w:ascii="宋体" w:hAnsi="宋体"/>
                <w:sz w:val="22"/>
                <w:szCs w:val="22"/>
              </w:rPr>
              <w:t>1.理解农村劳动力转移对粮食安全的影响</w:t>
            </w:r>
          </w:p>
          <w:p w14:paraId="5AFB7E37">
            <w:pPr>
              <w:spacing w:line="320" w:lineRule="exact"/>
              <w:ind w:firstLine="110" w:firstLineChars="50"/>
              <w:jc w:val="left"/>
              <w:rPr>
                <w:rFonts w:ascii="宋体" w:hAnsi="宋体"/>
                <w:sz w:val="22"/>
                <w:szCs w:val="22"/>
              </w:rPr>
            </w:pPr>
            <w:r>
              <w:rPr>
                <w:rFonts w:hint="eastAsia" w:ascii="宋体" w:hAnsi="宋体"/>
                <w:sz w:val="22"/>
                <w:szCs w:val="22"/>
              </w:rPr>
              <w:t>2.了解转基因技术对粮食安全的影响</w:t>
            </w:r>
          </w:p>
          <w:p w14:paraId="7D25E229">
            <w:pPr>
              <w:spacing w:line="320" w:lineRule="exact"/>
              <w:ind w:firstLine="110" w:firstLineChars="50"/>
              <w:jc w:val="left"/>
              <w:rPr>
                <w:rFonts w:ascii="宋体" w:hAnsi="宋体"/>
                <w:sz w:val="22"/>
                <w:szCs w:val="22"/>
              </w:rPr>
            </w:pPr>
            <w:r>
              <w:rPr>
                <w:rFonts w:hint="eastAsia" w:ascii="宋体" w:hAnsi="宋体"/>
                <w:sz w:val="22"/>
                <w:szCs w:val="22"/>
              </w:rPr>
              <w:t>3.理解为什么说工业化、城镇化对粮食生产而言是一把双刃剑，应如何妥善处理好工业化、城镇化与粮食安全保障的关系</w:t>
            </w:r>
          </w:p>
          <w:p w14:paraId="31624B76">
            <w:pPr>
              <w:spacing w:line="320" w:lineRule="exact"/>
              <w:ind w:left="110"/>
              <w:jc w:val="left"/>
              <w:rPr>
                <w:rFonts w:ascii="宋体" w:hAnsi="宋体"/>
                <w:sz w:val="22"/>
                <w:szCs w:val="22"/>
              </w:rPr>
            </w:pPr>
            <w:r>
              <w:rPr>
                <w:rFonts w:ascii="宋体" w:hAnsi="宋体"/>
                <w:sz w:val="22"/>
                <w:szCs w:val="22"/>
              </w:rPr>
              <w:t>（十一）</w:t>
            </w:r>
            <w:r>
              <w:rPr>
                <w:rFonts w:hint="eastAsia" w:ascii="宋体" w:hAnsi="宋体"/>
                <w:sz w:val="22"/>
                <w:szCs w:val="22"/>
              </w:rPr>
              <w:t>乡村振兴</w:t>
            </w:r>
          </w:p>
          <w:p w14:paraId="22F5BE6B">
            <w:pPr>
              <w:spacing w:line="320" w:lineRule="exact"/>
              <w:ind w:firstLine="110" w:firstLineChars="50"/>
              <w:jc w:val="left"/>
              <w:rPr>
                <w:rFonts w:ascii="宋体" w:hAnsi="宋体"/>
                <w:sz w:val="22"/>
                <w:szCs w:val="22"/>
              </w:rPr>
            </w:pPr>
            <w:r>
              <w:rPr>
                <w:rFonts w:hint="eastAsia" w:ascii="宋体" w:hAnsi="宋体"/>
                <w:sz w:val="22"/>
                <w:szCs w:val="22"/>
              </w:rPr>
              <w:t>1</w:t>
            </w:r>
            <w:r>
              <w:rPr>
                <w:rFonts w:ascii="宋体" w:hAnsi="宋体"/>
                <w:sz w:val="22"/>
                <w:szCs w:val="22"/>
              </w:rPr>
              <w:t>.理解实施乡村振兴战略的政策背景与重要意义</w:t>
            </w:r>
          </w:p>
          <w:p w14:paraId="75941297">
            <w:pPr>
              <w:spacing w:line="320" w:lineRule="exact"/>
              <w:ind w:firstLine="110" w:firstLineChars="50"/>
              <w:jc w:val="left"/>
              <w:rPr>
                <w:rFonts w:ascii="宋体" w:hAnsi="宋体"/>
                <w:sz w:val="22"/>
                <w:szCs w:val="22"/>
              </w:rPr>
            </w:pPr>
            <w:r>
              <w:rPr>
                <w:rFonts w:hint="eastAsia" w:ascii="宋体" w:hAnsi="宋体"/>
                <w:sz w:val="22"/>
                <w:szCs w:val="22"/>
              </w:rPr>
              <w:t>2</w:t>
            </w:r>
            <w:r>
              <w:rPr>
                <w:rFonts w:ascii="宋体" w:hAnsi="宋体"/>
                <w:sz w:val="22"/>
                <w:szCs w:val="22"/>
              </w:rPr>
              <w:t>.掌握全面推进乡村振兴重点工作的主要内容</w:t>
            </w:r>
          </w:p>
          <w:p w14:paraId="0319A9AC">
            <w:pPr>
              <w:spacing w:line="320" w:lineRule="exact"/>
              <w:ind w:firstLine="110" w:firstLineChars="50"/>
              <w:jc w:val="left"/>
              <w:rPr>
                <w:rFonts w:ascii="宋体" w:hAnsi="宋体"/>
                <w:sz w:val="22"/>
                <w:szCs w:val="22"/>
              </w:rPr>
            </w:pPr>
            <w:r>
              <w:rPr>
                <w:rFonts w:hint="eastAsia" w:ascii="宋体" w:hAnsi="宋体"/>
                <w:sz w:val="22"/>
                <w:szCs w:val="22"/>
              </w:rPr>
              <w:t>3</w:t>
            </w:r>
            <w:r>
              <w:rPr>
                <w:rFonts w:ascii="宋体" w:hAnsi="宋体"/>
                <w:sz w:val="22"/>
                <w:szCs w:val="22"/>
              </w:rPr>
              <w:t>.</w:t>
            </w:r>
            <w:r>
              <w:rPr>
                <w:rFonts w:hint="eastAsia" w:ascii="宋体" w:hAnsi="宋体"/>
                <w:sz w:val="22"/>
                <w:szCs w:val="22"/>
              </w:rPr>
              <w:t>理解如何处理好乡村振兴中的各种经济关系</w:t>
            </w:r>
          </w:p>
          <w:p w14:paraId="4FD00A0A">
            <w:pPr>
              <w:spacing w:line="320" w:lineRule="exact"/>
              <w:ind w:firstLine="110" w:firstLineChars="50"/>
              <w:jc w:val="left"/>
              <w:rPr>
                <w:rFonts w:ascii="宋体" w:hAnsi="宋体"/>
                <w:sz w:val="22"/>
                <w:szCs w:val="22"/>
              </w:rPr>
            </w:pPr>
            <w:r>
              <w:rPr>
                <w:rFonts w:hint="eastAsia" w:ascii="宋体" w:hAnsi="宋体"/>
                <w:sz w:val="22"/>
                <w:szCs w:val="22"/>
              </w:rPr>
              <w:t>4</w:t>
            </w:r>
            <w:r>
              <w:rPr>
                <w:rFonts w:ascii="宋体" w:hAnsi="宋体"/>
                <w:sz w:val="22"/>
                <w:szCs w:val="22"/>
              </w:rPr>
              <w:t>.理解新质生产力与乡村全面振兴的关系</w:t>
            </w:r>
          </w:p>
        </w:tc>
      </w:tr>
      <w:tr w14:paraId="367B1D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57"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14:paraId="203BC2D9">
            <w:pPr>
              <w:pStyle w:val="6"/>
              <w:spacing w:line="600" w:lineRule="exact"/>
              <w:ind w:firstLine="0" w:firstLineChars="0"/>
              <w:jc w:val="center"/>
              <w:rPr>
                <w:rFonts w:ascii="华文仿宋" w:hAnsi="华文仿宋" w:eastAsia="华文仿宋"/>
                <w:b/>
                <w:bCs/>
                <w:sz w:val="28"/>
                <w:szCs w:val="28"/>
              </w:rPr>
            </w:pPr>
            <w:r>
              <w:rPr>
                <w:rFonts w:hint="eastAsia" w:ascii="华文仿宋" w:hAnsi="华文仿宋" w:eastAsia="华文仿宋"/>
                <w:sz w:val="28"/>
                <w:szCs w:val="28"/>
              </w:rPr>
              <w:t>二、</w:t>
            </w:r>
            <w:r>
              <w:rPr>
                <w:rFonts w:hint="eastAsia" w:ascii="华文仿宋" w:hAnsi="华文仿宋" w:eastAsia="华文仿宋"/>
                <w:b/>
                <w:bCs/>
                <w:sz w:val="28"/>
                <w:szCs w:val="28"/>
              </w:rPr>
              <w:t>参考书目</w:t>
            </w:r>
          </w:p>
          <w:p w14:paraId="104983A5">
            <w:pPr>
              <w:spacing w:line="288" w:lineRule="auto"/>
              <w:jc w:val="center"/>
              <w:rPr>
                <w:rFonts w:ascii="华文仿宋" w:hAnsi="华文仿宋" w:eastAsia="华文仿宋"/>
                <w:b/>
                <w:sz w:val="28"/>
                <w:szCs w:val="28"/>
              </w:rPr>
            </w:pPr>
          </w:p>
        </w:tc>
        <w:tc>
          <w:tcPr>
            <w:tcW w:w="7200" w:type="dxa"/>
            <w:gridSpan w:val="3"/>
            <w:tcBorders>
              <w:top w:val="single" w:color="auto" w:sz="4" w:space="0"/>
              <w:left w:val="single" w:color="auto" w:sz="4" w:space="0"/>
              <w:bottom w:val="single" w:color="auto" w:sz="4" w:space="0"/>
              <w:right w:val="single" w:color="auto" w:sz="4" w:space="0"/>
            </w:tcBorders>
          </w:tcPr>
          <w:p w14:paraId="598B2B24">
            <w:pPr>
              <w:spacing w:line="340" w:lineRule="exact"/>
              <w:rPr>
                <w:rFonts w:hint="eastAsia" w:ascii="宋体"/>
                <w:szCs w:val="21"/>
              </w:rPr>
            </w:pPr>
            <w:bookmarkStart w:id="0" w:name="itemlist-title"/>
          </w:p>
          <w:p w14:paraId="67EDD4B8">
            <w:pPr>
              <w:spacing w:line="340" w:lineRule="exact"/>
              <w:rPr>
                <w:rFonts w:ascii="宋体"/>
                <w:szCs w:val="21"/>
              </w:rPr>
            </w:pPr>
            <w:r>
              <w:rPr>
                <w:rFonts w:hint="eastAsia" w:ascii="宋体"/>
                <w:szCs w:val="21"/>
              </w:rPr>
              <w:t>孔祥智 马九杰 朱信凯《农业经济学》</w:t>
            </w:r>
            <w:r>
              <w:fldChar w:fldCharType="begin"/>
            </w:r>
            <w:r>
              <w:instrText xml:space="preserve"> HYPERLINK "http://product.dangdang.com/1813653921.html" \t "http://search.dangdang.com/_blank" \o " 农村经济学 孔祥智 著 中国人民大学出版社 [正版书籍,下单速发,下单前请联系客服查询书籍库存]" </w:instrText>
            </w:r>
            <w:r>
              <w:fldChar w:fldCharType="separate"/>
            </w:r>
            <w:r>
              <w:rPr>
                <w:rFonts w:hint="eastAsia" w:ascii="宋体"/>
                <w:szCs w:val="21"/>
              </w:rPr>
              <w:t xml:space="preserve">  中国人民大学出版社 </w:t>
            </w:r>
            <w:bookmarkEnd w:id="0"/>
            <w:r>
              <w:rPr>
                <w:rFonts w:hint="eastAsia" w:ascii="宋体"/>
                <w:szCs w:val="21"/>
              </w:rPr>
              <w:fldChar w:fldCharType="end"/>
            </w:r>
            <w:r>
              <w:rPr>
                <w:rFonts w:hint="eastAsia" w:ascii="宋体"/>
                <w:szCs w:val="21"/>
              </w:rPr>
              <w:t xml:space="preserve"> </w:t>
            </w:r>
            <w:r>
              <w:rPr>
                <w:rFonts w:ascii="宋体"/>
                <w:szCs w:val="21"/>
              </w:rPr>
              <w:t>2023</w:t>
            </w:r>
          </w:p>
          <w:p w14:paraId="2619AE09">
            <w:pPr>
              <w:tabs>
                <w:tab w:val="left" w:pos="5186"/>
              </w:tabs>
              <w:jc w:val="left"/>
              <w:rPr>
                <w:sz w:val="18"/>
                <w:szCs w:val="18"/>
              </w:rPr>
            </w:pPr>
          </w:p>
        </w:tc>
      </w:tr>
    </w:tbl>
    <w:p w14:paraId="1AFB9751">
      <w:pPr>
        <w:rPr>
          <w:rFonts w:ascii="宋体" w:hAnsi="宋体" w:cs="宋体"/>
          <w:b/>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YwMWQyNDllOGZkZDQwMjdhZjVkODQxNjcxNGNlMTUifQ=="/>
  </w:docVars>
  <w:rsids>
    <w:rsidRoot w:val="0079215D"/>
    <w:rsid w:val="00297ACD"/>
    <w:rsid w:val="002F1BD0"/>
    <w:rsid w:val="00307D6A"/>
    <w:rsid w:val="00332208"/>
    <w:rsid w:val="00360F1A"/>
    <w:rsid w:val="005B1C01"/>
    <w:rsid w:val="0079215D"/>
    <w:rsid w:val="00816A3C"/>
    <w:rsid w:val="00986D24"/>
    <w:rsid w:val="00E2647A"/>
    <w:rsid w:val="04E33E82"/>
    <w:rsid w:val="0A910C84"/>
    <w:rsid w:val="0DB666B3"/>
    <w:rsid w:val="0EFF06BE"/>
    <w:rsid w:val="109655A7"/>
    <w:rsid w:val="13D9513A"/>
    <w:rsid w:val="170B4447"/>
    <w:rsid w:val="17B1467D"/>
    <w:rsid w:val="1A6F51CB"/>
    <w:rsid w:val="1B3A548A"/>
    <w:rsid w:val="1CC26358"/>
    <w:rsid w:val="215E7BA7"/>
    <w:rsid w:val="221D6C54"/>
    <w:rsid w:val="23145FBC"/>
    <w:rsid w:val="237F451D"/>
    <w:rsid w:val="245C3C5B"/>
    <w:rsid w:val="26B9069B"/>
    <w:rsid w:val="2754465E"/>
    <w:rsid w:val="28FA7AB2"/>
    <w:rsid w:val="2A0552F1"/>
    <w:rsid w:val="2BA47DCD"/>
    <w:rsid w:val="30436698"/>
    <w:rsid w:val="307A495F"/>
    <w:rsid w:val="32FB15CC"/>
    <w:rsid w:val="38D67910"/>
    <w:rsid w:val="3BAC27A9"/>
    <w:rsid w:val="3D8A3E9E"/>
    <w:rsid w:val="3DEA7081"/>
    <w:rsid w:val="425A14ED"/>
    <w:rsid w:val="4478026A"/>
    <w:rsid w:val="48EF5232"/>
    <w:rsid w:val="4BD218D8"/>
    <w:rsid w:val="4E0E7D0D"/>
    <w:rsid w:val="50755107"/>
    <w:rsid w:val="524F6A06"/>
    <w:rsid w:val="52843C02"/>
    <w:rsid w:val="548D6173"/>
    <w:rsid w:val="58C17B9F"/>
    <w:rsid w:val="5B2C3641"/>
    <w:rsid w:val="5BAC56BA"/>
    <w:rsid w:val="5DE11505"/>
    <w:rsid w:val="61B2336B"/>
    <w:rsid w:val="638A055C"/>
    <w:rsid w:val="67B76AB7"/>
    <w:rsid w:val="67B7762E"/>
    <w:rsid w:val="7108119A"/>
    <w:rsid w:val="743222E9"/>
    <w:rsid w:val="743D5FEE"/>
    <w:rsid w:val="785B410D"/>
    <w:rsid w:val="7A074554"/>
    <w:rsid w:val="7B3922A9"/>
    <w:rsid w:val="7CD67CE7"/>
    <w:rsid w:val="7EAE0F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0"/>
    <w:pPr>
      <w:ind w:firstLine="420" w:firstLineChars="200"/>
    </w:pPr>
  </w:style>
  <w:style w:type="paragraph" w:customStyle="1" w:styleId="7">
    <w:name w:val="msolistparagraph"/>
    <w:basedOn w:val="1"/>
    <w:qFormat/>
    <w:uiPriority w:val="0"/>
    <w:pPr>
      <w:ind w:firstLine="420" w:firstLineChars="200"/>
    </w:pPr>
  </w:style>
  <w:style w:type="character" w:customStyle="1" w:styleId="8">
    <w:name w:val="页眉 Char"/>
    <w:basedOn w:val="5"/>
    <w:link w:val="3"/>
    <w:qFormat/>
    <w:uiPriority w:val="0"/>
    <w:rPr>
      <w:kern w:val="2"/>
      <w:sz w:val="18"/>
      <w:szCs w:val="18"/>
    </w:rPr>
  </w:style>
  <w:style w:type="character" w:customStyle="1" w:styleId="9">
    <w:name w:val="页脚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1016</Words>
  <Characters>1063</Characters>
  <Lines>9</Lines>
  <Paragraphs>2</Paragraphs>
  <TotalTime>32</TotalTime>
  <ScaleCrop>false</ScaleCrop>
  <LinksUpToDate>false</LinksUpToDate>
  <CharactersWithSpaces>1070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2021-04-11T01:33:00Z</dcterms:created>
  <dc:creator>Administrator.USER-20190227GT</dc:creator>
  <cp:lastModifiedBy>贺平峰</cp:lastModifiedBy>
  <cp:lastPrinted>2021-04-13T08:47:00Z</cp:lastPrinted>
  <dcterms:modified xsi:type="dcterms:W3CDTF">2025-02-27T06:31:58Z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9EE0194D72A2472190EC6A8EEEB54423</vt:lpwstr>
  </property>
  <property fmtid="{D5CDD505-2E9C-101B-9397-08002B2CF9AE}" pid="4" name="KSOTemplateDocerSaveRecord">
    <vt:lpwstr>eyJoZGlkIjoiOWFiNjliMGRmNjBiMDdjOTZmY2NkMTI0ZTczOGY3YzUiLCJ1c2VySWQiOiI3MzIyOTI3NzEifQ==</vt:lpwstr>
  </property>
</Properties>
</file>